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0"/>
        <w:shd w:val="clear" w:color="auto" w:fill="ffffff"/>
        <w:ind w:firstLine="851"/>
        <w:jc w:val="both"/>
        <w:rPr>
          <w:sz w:val="28"/>
          <w:szCs w:val="28"/>
        </w:rPr>
      </w:pPr>
      <w:r>
        <w:rPr>
          <w:color w:val="0f1115"/>
          <w:sz w:val="28"/>
          <w:szCs w:val="28"/>
        </w:rPr>
        <w:t xml:space="preserve">Оформление права на земельные участки общего назначения в СНТ</w:t>
      </w:r>
    </w:p>
    <w:p>
      <w:pPr>
        <w:ind w:firstLine="851"/>
        <w:jc w:val="both"/>
        <w:rPr>
          <w:color w:val="0f1115"/>
          <w:sz w:val="28"/>
          <w:szCs w:val="28"/>
          <w:shd w:val="clear" w:color="auto" w:fill="ffffff"/>
        </w:rPr>
      </w:pPr>
      <w:r>
        <w:rPr>
          <w:rStyle w:val="ae"/>
          <w:b w:val="0"/>
          <w:color w:val="0f1115"/>
          <w:sz w:val="26"/>
          <w:szCs w:val="26"/>
          <w:shd w:val="clear" w:color="auto" w:fill="ffffff"/>
        </w:rPr>
        <w:t xml:space="preserve">Владельцы садовых участков в России имеют право оформить в общую долевую собственность имущество общего пользования своего садоводческого товарищества (СНТ)</w:t>
      </w:r>
      <w:r>
        <w:rPr>
          <w:color w:val="0f1115"/>
          <w:sz w:val="26"/>
          <w:szCs w:val="26"/>
          <w:shd w:val="clear" w:color="auto" w:fill="ffffff"/>
        </w:rPr>
        <w:t xml:space="preserve">. </w:t>
      </w:r>
    </w:p>
    <w:p>
      <w:pPr>
        <w:ind w:firstLine="851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00000" w:themeColor="text1"/>
          <w:sz w:val="26"/>
          <w:szCs w:val="26"/>
          <w:highlight w:val="white"/>
        </w:rPr>
        <w:t xml:space="preserve">Земельные участки общего назначения — это участки, предусмотренные документацией по планировке территории и предназначенные для общего использования всеми садоводами либо для размещения другого общего имущества: </w:t>
      </w:r>
    </w:p>
    <w:p>
      <w:pPr>
        <w:ind w:firstLine="851"/>
        <w:jc w:val="both"/>
        <w:rPr>
          <w:color w:val="000000" w:themeColor="text1"/>
          <w:sz w:val="28"/>
          <w:szCs w:val="28"/>
          <w:highlight w:val="white"/>
        </w:rPr>
      </w:pPr>
      <w:r>
        <w:rPr>
          <w:color w:val="0f1115"/>
          <w:sz w:val="26"/>
          <w:szCs w:val="26"/>
        </w:rPr>
        <w:t xml:space="preserve">дорог и проездов в границах товарищества;</w:t>
      </w:r>
    </w:p>
    <w:p>
      <w:pPr>
        <w:pStyle w:val="ds-markdown-paragraph"/>
        <w:shd w:val="clear" w:color="auto" w:fill="ffffff"/>
        <w:spacing w:before="0" w:beforeAutospacing="0" w:after="0" w:afterAutospacing="0"/>
        <w:ind w:left="851"/>
        <w:jc w:val="both"/>
        <w:rPr>
          <w:color w:val="0f1115"/>
          <w:sz w:val="28"/>
          <w:szCs w:val="28"/>
        </w:rPr>
      </w:pPr>
      <w:r>
        <w:rPr>
          <w:color w:val="0f1115"/>
          <w:sz w:val="26"/>
          <w:szCs w:val="26"/>
        </w:rPr>
        <w:t xml:space="preserve">и</w:t>
      </w:r>
      <w:r>
        <w:rPr>
          <w:color w:val="0f1115"/>
          <w:sz w:val="26"/>
          <w:szCs w:val="26"/>
        </w:rPr>
        <w:t xml:space="preserve">нженерных коммуникаций;</w:t>
      </w:r>
    </w:p>
    <w:p>
      <w:pPr>
        <w:pStyle w:val="ds-markdown-paragraph"/>
        <w:shd w:val="clear" w:color="auto" w:fill="ffffff"/>
        <w:spacing w:before="0" w:beforeAutospacing="0" w:after="0" w:afterAutospacing="0"/>
        <w:ind w:left="851"/>
        <w:rPr>
          <w:color w:val="0f1115"/>
          <w:sz w:val="28"/>
          <w:szCs w:val="28"/>
        </w:rPr>
      </w:pPr>
      <w:r>
        <w:rPr>
          <w:color w:val="0f1115"/>
          <w:sz w:val="26"/>
          <w:szCs w:val="26"/>
        </w:rPr>
        <w:t xml:space="preserve">мест для сбора коммунальных отходов;</w:t>
      </w:r>
    </w:p>
    <w:p>
      <w:pPr>
        <w:pStyle w:val="ds-markdown-paragraph"/>
        <w:shd w:val="clear" w:color="auto" w:fill="ffffff"/>
        <w:spacing w:before="0" w:beforeAutospacing="0" w:after="0" w:afterAutospacing="0"/>
        <w:ind w:left="851"/>
        <w:rPr>
          <w:color w:val="0f1115"/>
          <w:sz w:val="28"/>
          <w:szCs w:val="28"/>
        </w:rPr>
      </w:pPr>
      <w:r>
        <w:rPr>
          <w:color w:val="0f1115"/>
          <w:sz w:val="26"/>
          <w:szCs w:val="26"/>
        </w:rPr>
        <w:t xml:space="preserve">спортивных и детских площадок;</w:t>
      </w:r>
    </w:p>
    <w:p>
      <w:pPr>
        <w:pStyle w:val="ds-markdown-paragraph"/>
        <w:shd w:val="clear" w:color="auto" w:fill="ffffff"/>
        <w:spacing w:before="0" w:beforeAutospacing="0" w:after="0" w:afterAutospacing="0"/>
        <w:ind w:left="851"/>
        <w:rPr>
          <w:color w:val="0f1115"/>
          <w:sz w:val="28"/>
          <w:szCs w:val="28"/>
        </w:rPr>
      </w:pPr>
      <w:r>
        <w:rPr>
          <w:color w:val="0f1115"/>
          <w:sz w:val="26"/>
          <w:szCs w:val="26"/>
        </w:rPr>
        <w:t xml:space="preserve">иного имущество, необходимого для общего пользования.</w:t>
      </w:r>
    </w:p>
    <w:p>
      <w:pPr>
        <w:pStyle w:val="ds-markdown-paragraph"/>
        <w:shd w:val="clear" w:color="auto" w:fill="ffffff"/>
        <w:spacing w:before="0" w:beforeAutospacing="0" w:after="0" w:afterAutospacing="0"/>
        <w:ind w:firstLine="851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6"/>
          <w:szCs w:val="26"/>
          <w:highlight w:val="white"/>
        </w:rPr>
        <w:t xml:space="preserve">Закон допускает две формы. Первая — имущество принадлежит СНТ как юридическому лицу. Вторая — общая долевая со</w:t>
      </w:r>
      <w:r>
        <w:rPr>
          <w:color w:val="000000" w:themeColor="text1"/>
          <w:sz w:val="26"/>
          <w:szCs w:val="26"/>
          <w:highlight w:val="white"/>
        </w:rPr>
        <w:t xml:space="preserve">бственность самих владельцев земельных участков. 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firstLine="850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Имущество общего пользования, принадлежащее СНТ на праве собственности, может быть передано безвозмездно в общую долевую собственность лиц, являющихся собственниками земельных участков, расположенных в гран</w:t>
      </w:r>
      <w:r>
        <w:rPr>
          <w:sz w:val="26"/>
          <w:szCs w:val="26"/>
        </w:rPr>
        <w:t xml:space="preserve">ицах территории садоводства. В</w:t>
      </w:r>
      <w:r>
        <w:rPr>
          <w:sz w:val="26"/>
          <w:szCs w:val="26"/>
        </w:rPr>
        <w:t xml:space="preserve">опрос о безвозмездной передаче такого земельного участка, относящегося к имуществу общего пользования должен быть вынесен на решение общего собрания членов товарищества.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firstLine="850"/>
        <w:jc w:val="both"/>
        <w:rPr>
          <w:sz w:val="28"/>
          <w:szCs w:val="28"/>
        </w:rPr>
      </w:pPr>
      <w:r>
        <w:rPr>
          <w:color w:val="000000" w:themeColor="text1"/>
          <w:sz w:val="26"/>
          <w:szCs w:val="26"/>
          <w:highlight w:val="white"/>
        </w:rPr>
        <w:t xml:space="preserve">В случае, если </w:t>
      </w:r>
      <w:r>
        <w:rPr>
          <w:color w:val="000000" w:themeColor="text1"/>
          <w:sz w:val="26"/>
          <w:szCs w:val="26"/>
          <w:highlight w:val="white"/>
        </w:rPr>
        <w:t xml:space="preserve">земля находится в государственной или муниципальной собственности </w:t>
      </w:r>
      <w:r>
        <w:rPr>
          <w:sz w:val="26"/>
          <w:szCs w:val="26"/>
        </w:rPr>
        <w:t xml:space="preserve">земельный участок общего </w:t>
      </w:r>
      <w:r>
        <w:rPr>
          <w:sz w:val="26"/>
          <w:szCs w:val="26"/>
        </w:rPr>
        <w:t xml:space="preserve">назначения  подлежит</w:t>
      </w:r>
      <w:r>
        <w:rPr>
          <w:sz w:val="26"/>
          <w:szCs w:val="26"/>
        </w:rPr>
        <w:t xml:space="preserve"> предоставлению в общую долевую собственность лиц, являющихся собственниками земельных участков, расположенных в границах территории садоводства.</w:t>
      </w:r>
      <w:r>
        <w:rPr>
          <w:sz w:val="26"/>
          <w:szCs w:val="26"/>
        </w:rPr>
        <w:t xml:space="preserve"> Предоставление такого участка может осуществляться по заявлению лица, уполномоченного решением общего собрания членов товарищества.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88" w:lineRule="atLeast"/>
        <w:ind w:firstLine="850"/>
        <w:jc w:val="both"/>
        <w:rPr>
          <w:sz w:val="28"/>
          <w:szCs w:val="28"/>
        </w:rPr>
      </w:pPr>
      <w:r>
        <w:rPr>
          <w:color w:val="000000" w:themeColor="text1"/>
          <w:sz w:val="26"/>
          <w:szCs w:val="26"/>
        </w:rPr>
        <w:t xml:space="preserve">Органом уполномоченным на образование и предоставление земельных участков является орган местного самоуправления или орган </w:t>
      </w:r>
      <w:r>
        <w:rPr>
          <w:color w:val="000000" w:themeColor="text1"/>
          <w:sz w:val="26"/>
          <w:szCs w:val="26"/>
        </w:rPr>
        <w:t xml:space="preserve">государственной власти (в Республике Карелия – Министерство имущественных и земельных отношений Республики Карелия).  </w:t>
      </w:r>
    </w:p>
    <w:p>
      <w:pPr>
        <w:shd w:val="clear" w:color="auto" w:fill="fefefe"/>
        <w:ind w:firstLine="851"/>
        <w:jc w:val="both"/>
        <w:rPr>
          <w:color w:val="000000" w:themeColor="text1"/>
          <w:sz w:val="26"/>
          <w:szCs w:val="26"/>
        </w:rPr>
      </w:pPr>
    </w:p>
    <w:p>
      <w:pPr>
        <w:shd w:val="clear" w:color="auto" w:fill="fefefe"/>
        <w:ind w:firstLine="851"/>
        <w:jc w:val="both"/>
        <w:rPr>
          <w:color w:val="000000" w:themeColor="text1"/>
          <w:sz w:val="26"/>
          <w:szCs w:val="26"/>
          <w:shd w:val="clear" w:color="auto" w:fill="ffffff"/>
        </w:rPr>
      </w:pPr>
      <w:r>
        <w:rPr>
          <w:color w:val="000000" w:themeColor="text1"/>
          <w:sz w:val="26"/>
          <w:szCs w:val="26"/>
        </w:rPr>
        <w:t xml:space="preserve">Заместитель руководителя Карельского </w:t>
      </w:r>
      <w:r>
        <w:rPr>
          <w:color w:val="000000" w:themeColor="text1"/>
          <w:sz w:val="26"/>
          <w:szCs w:val="26"/>
        </w:rPr>
        <w:t xml:space="preserve">Росреестра</w:t>
      </w:r>
      <w:r>
        <w:rPr>
          <w:color w:val="000000" w:themeColor="text1"/>
          <w:sz w:val="26"/>
          <w:szCs w:val="26"/>
        </w:rPr>
        <w:t xml:space="preserve"> </w:t>
      </w:r>
      <w:r>
        <w:rPr>
          <w:b/>
          <w:bCs/>
          <w:color w:val="000000" w:themeColor="text1"/>
          <w:sz w:val="26"/>
          <w:szCs w:val="26"/>
        </w:rPr>
        <w:t xml:space="preserve">Татьяна Полякова</w:t>
      </w:r>
      <w:r>
        <w:rPr>
          <w:color w:val="000000" w:themeColor="text1"/>
          <w:sz w:val="26"/>
          <w:szCs w:val="26"/>
        </w:rPr>
        <w:t xml:space="preserve"> отмечает: </w:t>
      </w:r>
      <w:r>
        <w:rPr>
          <w:i/>
          <w:iCs/>
          <w:color w:val="000000" w:themeColor="text1"/>
          <w:sz w:val="26"/>
          <w:szCs w:val="26"/>
        </w:rPr>
        <w:t xml:space="preserve">«</w:t>
      </w:r>
      <w:r>
        <w:rPr>
          <w:i/>
          <w:iCs/>
          <w:color w:val="000000" w:themeColor="text1"/>
          <w:sz w:val="26"/>
          <w:szCs w:val="26"/>
        </w:rPr>
        <w:t xml:space="preserve">Д</w:t>
      </w:r>
      <w:r>
        <w:rPr>
          <w:i/>
          <w:iCs/>
          <w:color w:val="000000" w:themeColor="text1"/>
          <w:sz w:val="26"/>
          <w:szCs w:val="26"/>
        </w:rPr>
        <w:t xml:space="preserve">ействующая процедура оформления прав на земельный участок общего пользования </w:t>
      </w:r>
      <w:r>
        <w:rPr>
          <w:i/>
          <w:iCs/>
          <w:color w:val="000000" w:themeColor="text1"/>
          <w:sz w:val="26"/>
          <w:szCs w:val="26"/>
          <w:shd w:val="clear" w:color="auto" w:fill="ffffff"/>
        </w:rPr>
        <w:t xml:space="preserve">достаточно сложная и длительная. </w:t>
      </w:r>
      <w:r>
        <w:rPr>
          <w:i/>
          <w:iCs/>
          <w:color w:val="000000" w:themeColor="text1"/>
          <w:sz w:val="26"/>
          <w:szCs w:val="26"/>
          <w:highlight w:val="white"/>
        </w:rPr>
        <w:t xml:space="preserve">Законопроект, разработанный </w:t>
      </w:r>
      <w:r>
        <w:rPr>
          <w:i/>
          <w:iCs/>
          <w:color w:val="000000" w:themeColor="text1"/>
          <w:sz w:val="26"/>
          <w:szCs w:val="26"/>
          <w:highlight w:val="white"/>
        </w:rPr>
        <w:t xml:space="preserve">Росреестром</w:t>
      </w:r>
      <w:r>
        <w:rPr>
          <w:i/>
          <w:iCs/>
          <w:color w:val="000000" w:themeColor="text1"/>
          <w:sz w:val="26"/>
          <w:szCs w:val="26"/>
          <w:highlight w:val="white"/>
        </w:rPr>
        <w:t xml:space="preserve"> и упрощающий оформление прав на общее имущество СНТ, могут принять до конца этого года»</w:t>
      </w:r>
      <w:r>
        <w:rPr>
          <w:color w:val="000000" w:themeColor="text1"/>
          <w:sz w:val="26"/>
          <w:szCs w:val="26"/>
          <w:highlight w:val="white"/>
        </w:rPr>
        <w:t xml:space="preserve">.</w:t>
      </w:r>
    </w:p>
    <w:p>
      <w:pPr>
        <w:pStyle w:val="1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hd w:val="clear" w:color="auto" w:fill="ffffff"/>
        <w:ind w:firstLine="851"/>
        <w:jc w:val="both"/>
        <w:rPr>
          <w:color w:val="000000" w:themeColor="text1"/>
          <w:sz w:val="28"/>
          <w:szCs w:val="28"/>
        </w:rPr>
      </w:pPr>
      <w:r>
        <w:rPr>
          <w:b w:val="0"/>
          <w:i/>
          <w:iCs/>
          <w:color w:val="000000" w:themeColor="text1"/>
          <w:sz w:val="26"/>
          <w:szCs w:val="26"/>
        </w:rPr>
        <w:t xml:space="preserve">«</w:t>
      </w:r>
      <w:r>
        <w:rPr>
          <w:b w:val="0"/>
          <w:i/>
          <w:iCs/>
          <w:color w:val="000000" w:themeColor="text1"/>
          <w:sz w:val="26"/>
          <w:szCs w:val="26"/>
        </w:rPr>
        <w:t xml:space="preserve">Главная задача —</w:t>
      </w:r>
      <w:r>
        <w:rPr>
          <w:b w:val="0"/>
          <w:i/>
          <w:iCs/>
          <w:color w:val="000000" w:themeColor="text1"/>
          <w:sz w:val="26"/>
          <w:szCs w:val="26"/>
        </w:rPr>
        <w:t xml:space="preserve"> максимально упростить жизнь членам СНТ, сократить временные и финансовые затраты. </w:t>
      </w:r>
      <w:r>
        <w:rPr>
          <w:b w:val="0"/>
          <w:i/>
          <w:iCs/>
          <w:color w:val="000000" w:themeColor="text1"/>
          <w:sz w:val="26"/>
          <w:szCs w:val="26"/>
        </w:rPr>
        <w:t xml:space="preserve">Изменения, предусматривающие возникновение права общей собственности на земельный участок общего назначения в силу закона </w:t>
      </w:r>
      <w:r>
        <w:rPr>
          <w:b w:val="0"/>
          <w:i/>
          <w:iCs/>
          <w:color w:val="000000" w:themeColor="text1"/>
          <w:sz w:val="26"/>
          <w:szCs w:val="26"/>
          <w:shd w:val="clear" w:color="auto" w:fill="ffffff"/>
        </w:rPr>
        <w:t xml:space="preserve">по аналогии с общим имуществом собственников помеще</w:t>
      </w:r>
      <w:r>
        <w:rPr>
          <w:b w:val="0"/>
          <w:i/>
          <w:iCs/>
          <w:color w:val="000000" w:themeColor="text1"/>
          <w:sz w:val="26"/>
          <w:szCs w:val="26"/>
          <w:shd w:val="clear" w:color="auto" w:fill="ffffff"/>
        </w:rPr>
        <w:t xml:space="preserve">ний в многоквартирных домах, </w:t>
      </w:r>
      <w:r>
        <w:rPr>
          <w:b w:val="0"/>
          <w:i/>
          <w:iCs/>
          <w:color w:val="000000" w:themeColor="text1"/>
          <w:sz w:val="26"/>
          <w:szCs w:val="26"/>
        </w:rPr>
        <w:t xml:space="preserve">существенно упростят процедуру оформления прав на общее имущество СНТ»</w:t>
      </w:r>
      <w:r>
        <w:rPr>
          <w:b w:val="0"/>
          <w:color w:val="000000" w:themeColor="text1"/>
          <w:sz w:val="26"/>
          <w:szCs w:val="26"/>
        </w:rPr>
        <w:t xml:space="preserve">, - прокомментировал</w:t>
      </w:r>
      <w:r>
        <w:rPr>
          <w:b w:val="0"/>
          <w:color w:val="000000" w:themeColor="text1"/>
          <w:sz w:val="26"/>
          <w:szCs w:val="26"/>
        </w:rPr>
        <w:t xml:space="preserve"> заместитель директора ГКУ РК «Управление земельными ресурсами»</w:t>
      </w:r>
      <w:r>
        <w:rPr>
          <w:bCs/>
          <w:color w:val="000000" w:themeColor="text1"/>
          <w:sz w:val="26"/>
          <w:szCs w:val="26"/>
        </w:rPr>
        <w:t xml:space="preserve"> </w:t>
      </w:r>
      <w:r>
        <w:rPr>
          <w:bCs/>
          <w:color w:val="000000" w:themeColor="text1"/>
          <w:sz w:val="26"/>
          <w:szCs w:val="26"/>
        </w:rPr>
        <w:t xml:space="preserve">Вячеслав Жуковский</w:t>
      </w:r>
      <w:bookmarkStart w:id="0" w:name="_GoBack"/>
      <w:bookmarkEnd w:id="0"/>
      <w:r>
        <w:rPr>
          <w:b w:val="0"/>
          <w:color w:val="000000" w:themeColor="text1"/>
          <w:sz w:val="26"/>
          <w:szCs w:val="26"/>
        </w:rPr>
        <w:t xml:space="preserve">.</w:t>
      </w:r>
    </w:p>
    <w:p>
      <w:pPr>
        <w:widowControl w:val="off"/>
        <w:ind w:firstLine="567"/>
        <w:jc w:val="right"/>
        <w:outlineLvl w:val="0"/>
        <w:rPr>
          <w:rFonts w:ascii="Segoe UI" w:hAnsi="Segoe UI"/>
          <w:sz w:val="22"/>
          <w:szCs w:val="22"/>
        </w:rPr>
      </w:pPr>
    </w:p>
    <w:p>
      <w:pPr>
        <w:widowControl w:val="off"/>
        <w:ind w:firstLine="567"/>
        <w:jc w:val="right"/>
        <w:outlineLvl w:val="0"/>
        <w:rPr>
          <w:rFonts w:ascii="Segoe UI" w:hAnsi="Segoe UI"/>
          <w:sz w:val="20"/>
        </w:rPr>
      </w:pPr>
      <w:r>
        <w:rPr>
          <w:rFonts w:ascii="Segoe UI" w:hAnsi="Segoe UI"/>
          <w:sz w:val="20"/>
        </w:rPr>
        <w:t xml:space="preserve">Материал подготовлен пресс-службой </w:t>
      </w:r>
    </w:p>
    <w:p>
      <w:pPr>
        <w:widowControl w:val="off"/>
        <w:ind w:firstLine="567"/>
        <w:jc w:val="right"/>
        <w:outlineLvl w:val="0"/>
        <w:rPr>
          <w:rFonts w:ascii="Segoe UI" w:hAnsi="Segoe UI"/>
          <w:sz w:val="20"/>
        </w:rPr>
      </w:pPr>
      <w:r>
        <w:rPr>
          <w:rFonts w:ascii="Segoe UI" w:hAnsi="Segoe UI"/>
          <w:sz w:val="20"/>
        </w:rPr>
        <w:t xml:space="preserve">Управления </w:t>
      </w:r>
      <w:r>
        <w:rPr>
          <w:rFonts w:ascii="Segoe UI" w:hAnsi="Segoe UI"/>
          <w:sz w:val="20"/>
        </w:rPr>
        <w:t xml:space="preserve">Росреестра</w:t>
      </w:r>
      <w:r>
        <w:rPr>
          <w:rFonts w:ascii="Segoe UI" w:hAnsi="Segoe UI"/>
          <w:sz w:val="20"/>
        </w:rPr>
        <w:t xml:space="preserve"> по Республике Карелия</w:t>
      </w:r>
    </w:p>
    <w:p>
      <w:pPr>
        <w:ind w:firstLine="567"/>
        <w:jc w:val="right"/>
        <w:outlineLvl w:val="0"/>
        <w:rPr>
          <w:sz w:val="20"/>
        </w:rPr>
      </w:pPr>
      <w:hyperlink r:id="rId10" w:tooltip="https://vk.com/feed?section=search&amp;q=%23%D0%A0%D0%BE%D1%81%D1%80%D0%B5%D0%B5%D1%81%D1%82%D1%80" w:history="1">
        <w:r>
          <w:rPr>
            <w:rStyle w:val="af4"/>
            <w:rFonts w:ascii="Segoe UI" w:hAnsi="Segoe UI"/>
            <w:color w:val="2a5885"/>
            <w:sz w:val="20"/>
          </w:rPr>
          <w:t xml:space="preserve">#</w:t>
        </w:r>
        <w:r>
          <w:rPr>
            <w:rStyle w:val="af4"/>
            <w:rFonts w:ascii="Segoe UI" w:hAnsi="Segoe UI"/>
            <w:color w:val="2a5885"/>
            <w:sz w:val="20"/>
          </w:rPr>
          <w:t xml:space="preserve">Рос</w:t>
        </w:r>
        <w:r>
          <w:rPr>
            <w:rStyle w:val="af4"/>
            <w:rFonts w:ascii="Segoe UI" w:hAnsi="Segoe UI"/>
            <w:color w:val="2a5885"/>
            <w:sz w:val="20"/>
          </w:rPr>
          <w:t xml:space="preserve">реестр</w:t>
        </w:r>
      </w:hyperlink>
      <w:r>
        <w:rPr>
          <w:rFonts w:ascii="Segoe UI" w:hAnsi="Segoe UI"/>
          <w:sz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af4"/>
            <w:rFonts w:ascii="Segoe UI" w:hAnsi="Segoe UI"/>
            <w:color w:val="2a5885"/>
            <w:sz w:val="20"/>
          </w:rPr>
          <w:t xml:space="preserve">#</w:t>
        </w:r>
        <w:r>
          <w:rPr>
            <w:rStyle w:val="af4"/>
            <w:rFonts w:ascii="Segoe UI" w:hAnsi="Segoe UI"/>
            <w:color w:val="2a5885"/>
            <w:sz w:val="20"/>
          </w:rPr>
          <w:t xml:space="preserve">РосреестрКарелии</w:t>
        </w:r>
      </w:hyperlink>
      <w:r>
        <w:rPr>
          <w:sz w:val="20"/>
        </w:rPr>
        <w:t xml:space="preserve"> </w:t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</w:p>
    <w:p>
      <w:pPr>
        <w:widowControl w:val="off"/>
        <w:shd w:val="clear" w:color="auto" w:fill="ffffff"/>
        <w:outlineLvl w:val="0"/>
        <w:rPr>
          <w:rFonts w:ascii="Segoe UI" w:hAnsi="Segoe UI" w:eastAsia="Calibri" w:cs="Segoe UI"/>
          <w:sz w:val="16"/>
          <w:szCs w:val="16"/>
        </w:rPr>
      </w:pPr>
      <w:r>
        <w:rPr>
          <w:rFonts w:ascii="Segoe UI" w:hAnsi="Segoe UI" w:eastAsia="Calibri" w:cs="Segoe UI"/>
          <w:sz w:val="16"/>
          <w:szCs w:val="16"/>
        </w:rPr>
        <w:t xml:space="preserve">Пресс-служба 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 48</w:t>
      </w:r>
    </w:p>
    <w:p>
      <w:pPr>
        <w:rPr>
          <w:rStyle w:val="af4"/>
          <w:rFonts w:ascii="Segoe UI" w:hAnsi="Segoe UI" w:eastAsia="Calibri" w:cs="Segoe UI"/>
          <w:sz w:val="16"/>
          <w:szCs w:val="16"/>
        </w:rPr>
      </w:pPr>
      <w:hyperlink r:id="rId12" w:tooltip="mailto:A.Vorobeva@r10.rosreestr.ru" w:history="1">
        <w:r>
          <w:rPr>
            <w:rStyle w:val="af4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</w:p>
    <w:sectPr>
      <w:headerReference w:type="default" r:id="rId9"/>
      <w:pgSz w:w="11906" w:h="16838"/>
      <w:pgMar w:top="1284" w:right="567" w:bottom="389" w:left="993" w:header="295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Arial">
    <w:panose1 w:val="020B0604020202020204"/>
  </w:font>
  <w:font w:name="Consolas">
    <w:panose1 w:val="020B0606020202030204"/>
  </w:font>
  <w:font w:name="XO Thames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8CC036A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 w:tplc="E02ED3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1ABE2EAC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00CABCE6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40DCB1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27B6B82E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42449F4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AFEA43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E4ED11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 w:tplc="6CC66C5C">
      <w:start w:val="1"/>
      <w:numFmt w:val="bullet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 w:tplc="99721D94">
      <w:start w:val="1"/>
      <w:numFmt w:val="bullet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 w:tplc="18DE3BDA">
      <w:start w:val="1"/>
      <w:numFmt w:val="bullet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 w:tplc="7E82E3C6">
      <w:start w:val="1"/>
      <w:numFmt w:val="bullet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 w:tplc="D8723CC4">
      <w:start w:val="1"/>
      <w:numFmt w:val="bullet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 w:tplc="B7D4D3A8">
      <w:start w:val="1"/>
      <w:numFmt w:val="bullet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 w:tplc="85AEC99E">
      <w:start w:val="1"/>
      <w:numFmt w:val="bullet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 w:tplc="2E3651D0">
      <w:start w:val="1"/>
      <w:numFmt w:val="bullet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 w:tplc="0C06B64A">
      <w:start w:val="1"/>
      <w:numFmt w:val="bullet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2">
    <w:multiLevelType w:val="hybridMultilevel"/>
    <w:lvl w:ilvl="0" w:tplc="B19678AC">
      <w:start w:val="1"/>
      <w:numFmt w:val="bullet"/>
      <w:lvlText w:val=""/>
      <w:lvlJc w:val="left"/>
      <w:pPr>
        <w:ind w:left="1425" w:hanging="360"/>
      </w:pPr>
      <w:rPr>
        <w:rFonts w:hint="default" w:ascii="Symbol" w:hAnsi="Symbol"/>
      </w:rPr>
    </w:lvl>
    <w:lvl w:ilvl="1" w:tplc="DE641B5A">
      <w:start w:val="1"/>
      <w:numFmt w:val="bullet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 w:tplc="A882FBCA">
      <w:start w:val="1"/>
      <w:numFmt w:val="bullet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 w:tplc="0F0EE36C">
      <w:start w:val="1"/>
      <w:numFmt w:val="bullet"/>
      <w:lvlText w:val=""/>
      <w:lvlJc w:val="left"/>
      <w:pPr>
        <w:ind w:left="3585" w:hanging="360"/>
      </w:pPr>
      <w:rPr>
        <w:rFonts w:hint="default" w:ascii="Symbol" w:hAnsi="Symbol"/>
      </w:rPr>
    </w:lvl>
    <w:lvl w:ilvl="4" w:tplc="4608051E">
      <w:start w:val="1"/>
      <w:numFmt w:val="bullet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 w:tplc="CFA22D28">
      <w:start w:val="1"/>
      <w:numFmt w:val="bullet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 w:tplc="AD80ABAC">
      <w:start w:val="1"/>
      <w:numFmt w:val="bullet"/>
      <w:lvlText w:val=""/>
      <w:lvlJc w:val="left"/>
      <w:pPr>
        <w:ind w:left="5745" w:hanging="360"/>
      </w:pPr>
      <w:rPr>
        <w:rFonts w:hint="default" w:ascii="Symbol" w:hAnsi="Symbol"/>
      </w:rPr>
    </w:lvl>
    <w:lvl w:ilvl="7" w:tplc="7F74039A">
      <w:start w:val="1"/>
      <w:numFmt w:val="bullet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 w:tplc="A1408D78">
      <w:start w:val="1"/>
      <w:numFmt w:val="bullet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 w:tplc="C98A3F1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 w:tplc="346C78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0CA8DC5E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B920900A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45D08CF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783898F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7A3CE9A4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DCD8E8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F954CA68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 w:tplc="C6B6E4B2">
      <w:start w:val="1"/>
      <w:numFmt w:val="bullet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 w:tplc="3DA8E4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4ADE84C8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6B7AA85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A000B10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1DEE759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73CE2DC2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E1C62A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EC82E28C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 w:tplc="7C007CBE">
      <w:start w:val="1"/>
      <w:numFmt w:val="bullet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 w:tplc="EC6A5F5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4ADADC0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B4EC02E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600C1D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A7643C6C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709CB50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C6FEA64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6D89F8C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 w:tplc="D27685E4">
      <w:start w:val="1"/>
      <w:numFmt w:val="bullet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 w:tplc="E3A2547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183CFB4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BF165A3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586ECE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01FEEC7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75BAEE2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59E28D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20BC4706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 w:tplc="402C40AC">
      <w:start w:val="1"/>
      <w:numFmt w:val="bullet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 w:tplc="980ED2C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0576ECF6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5B7AD4F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76E008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48F40736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B26F45C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00E800C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23F032EA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 w:tplc="E13ECB78">
      <w:start w:val="1"/>
      <w:numFmt w:val="bullet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 w:tplc="2FF2C8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544C5B8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D196FBB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39D621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E52C7ED8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AE882F2A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B29C833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9CF271D2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 w:tplc="93EE91FA">
      <w:start w:val="1"/>
      <w:numFmt w:val="bullet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 w:tplc="B546E3F2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70FE480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A6D6D02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57C0BBEA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77602272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CC767AE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3EA8024A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2064FF68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 w:tplc="DC2035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E9AE6A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69CB6C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0E49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BFE5E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99749DA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B0822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252280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6B8248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 w:tplc="59464E80">
      <w:start w:val="1"/>
      <w:numFmt w:val="bullet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 w:tplc="05668CDA">
      <w:start w:val="1"/>
      <w:numFmt w:val="bullet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 w:tplc="E8E4F59A">
      <w:start w:val="1"/>
      <w:numFmt w:val="bullet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 w:tplc="CB782E8A">
      <w:start w:val="1"/>
      <w:numFmt w:val="bullet"/>
      <w:lvlText w:val=""/>
      <w:lvlJc w:val="left"/>
      <w:pPr>
        <w:ind w:left="4080" w:hanging="360"/>
      </w:pPr>
      <w:rPr>
        <w:rFonts w:hint="default" w:ascii="Symbol" w:hAnsi="Symbol"/>
      </w:rPr>
    </w:lvl>
    <w:lvl w:ilvl="4" w:tplc="D870D57E">
      <w:start w:val="1"/>
      <w:numFmt w:val="bullet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 w:tplc="FDCAF302">
      <w:start w:val="1"/>
      <w:numFmt w:val="bullet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 w:tplc="2D6E513C">
      <w:start w:val="1"/>
      <w:numFmt w:val="bullet"/>
      <w:lvlText w:val=""/>
      <w:lvlJc w:val="left"/>
      <w:pPr>
        <w:ind w:left="6240" w:hanging="360"/>
      </w:pPr>
      <w:rPr>
        <w:rFonts w:hint="default" w:ascii="Symbol" w:hAnsi="Symbol"/>
      </w:rPr>
    </w:lvl>
    <w:lvl w:ilvl="7" w:tplc="B9769A1A">
      <w:start w:val="1"/>
      <w:numFmt w:val="bullet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 w:tplc="7348EF88">
      <w:start w:val="1"/>
      <w:numFmt w:val="bullet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 w:tplc="F1084508">
      <w:start w:val="1"/>
      <w:numFmt w:val="bullet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 w:tplc="BF42E59C">
      <w:start w:val="1"/>
      <w:numFmt w:val="bullet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 w:tplc="2AA67AA4">
      <w:start w:val="1"/>
      <w:numFmt w:val="bullet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 w:tplc="4D4247B6">
      <w:start w:val="1"/>
      <w:numFmt w:val="bullet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 w:tplc="64F22748">
      <w:start w:val="1"/>
      <w:numFmt w:val="bullet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 w:tplc="7D28C7AA">
      <w:start w:val="1"/>
      <w:numFmt w:val="bullet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 w:tplc="7C00705A">
      <w:start w:val="1"/>
      <w:numFmt w:val="bullet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 w:tplc="C24A1940">
      <w:start w:val="1"/>
      <w:numFmt w:val="bullet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 w:tplc="32A2BFF8">
      <w:start w:val="1"/>
      <w:numFmt w:val="bullet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 w:tplc="094E61D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E16435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42E00C7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AE9C09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0EB489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623AD92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0DCC9CD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8D28D1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1AFEFD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>
    <w:multiLevelType w:val="hybridMultilevel"/>
    <w:lvl w:ilvl="0" w:tplc="1F14A748">
      <w:start w:val="1"/>
      <w:numFmt w:val="bullet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 w:tplc="23025BB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plc="0E32D512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plc="C7BC14F2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plc="E1FE904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plc="EF2E7D52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plc="171A9488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plc="B5B8F0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plc="85709464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 w:tplc="828249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2961DCA">
      <w:start w:val="1"/>
      <w:numFmt w:val="lowerLetter"/>
      <w:lvlText w:val="%2."/>
      <w:lvlJc w:val="left"/>
      <w:pPr>
        <w:ind w:left="1440" w:hanging="360"/>
      </w:pPr>
    </w:lvl>
    <w:lvl w:ilvl="2" w:tplc="49E43F1A">
      <w:start w:val="1"/>
      <w:numFmt w:val="lowerRoman"/>
      <w:lvlText w:val="%3."/>
      <w:lvlJc w:val="right"/>
      <w:pPr>
        <w:ind w:left="2160" w:hanging="180"/>
      </w:pPr>
    </w:lvl>
    <w:lvl w:ilvl="3" w:tplc="540A8A98">
      <w:start w:val="1"/>
      <w:numFmt w:val="decimal"/>
      <w:lvlText w:val="%4."/>
      <w:lvlJc w:val="left"/>
      <w:pPr>
        <w:ind w:left="2880" w:hanging="360"/>
      </w:pPr>
    </w:lvl>
    <w:lvl w:ilvl="4" w:tplc="7D74533A">
      <w:start w:val="1"/>
      <w:numFmt w:val="lowerLetter"/>
      <w:lvlText w:val="%5."/>
      <w:lvlJc w:val="left"/>
      <w:pPr>
        <w:ind w:left="3600" w:hanging="360"/>
      </w:pPr>
    </w:lvl>
    <w:lvl w:ilvl="5" w:tplc="5AF6F886">
      <w:start w:val="1"/>
      <w:numFmt w:val="lowerRoman"/>
      <w:lvlText w:val="%6."/>
      <w:lvlJc w:val="right"/>
      <w:pPr>
        <w:ind w:left="4320" w:hanging="180"/>
      </w:pPr>
    </w:lvl>
    <w:lvl w:ilvl="6" w:tplc="BB7C22B6">
      <w:start w:val="1"/>
      <w:numFmt w:val="decimal"/>
      <w:lvlText w:val="%7."/>
      <w:lvlJc w:val="left"/>
      <w:pPr>
        <w:ind w:left="5040" w:hanging="360"/>
      </w:pPr>
    </w:lvl>
    <w:lvl w:ilvl="7" w:tplc="0130F84E">
      <w:start w:val="1"/>
      <w:numFmt w:val="lowerLetter"/>
      <w:lvlText w:val="%8."/>
      <w:lvlJc w:val="left"/>
      <w:pPr>
        <w:ind w:left="5760" w:hanging="360"/>
      </w:pPr>
    </w:lvl>
    <w:lvl w:ilvl="8" w:tplc="8C484D90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multiLevelType w:val="hybridMultilevel"/>
    <w:lvl w:ilvl="0" w:tplc="141E4252">
      <w:start w:val="1"/>
      <w:numFmt w:val="bullet"/>
      <w:lvlText w:val=""/>
      <w:lvlJc w:val="left"/>
      <w:pPr>
        <w:ind w:left="1287" w:hanging="360"/>
      </w:pPr>
      <w:rPr>
        <w:rFonts w:hint="default" w:ascii="Symbol" w:hAnsi="Symbol"/>
      </w:rPr>
    </w:lvl>
    <w:lvl w:ilvl="1" w:tplc="CBA2A04A">
      <w:start w:val="1"/>
      <w:numFmt w:val="bullet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 w:tplc="B164C1DE">
      <w:start w:val="1"/>
      <w:numFmt w:val="bullet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 w:tplc="188037A2">
      <w:start w:val="1"/>
      <w:numFmt w:val="bullet"/>
      <w:lvlText w:val=""/>
      <w:lvlJc w:val="left"/>
      <w:pPr>
        <w:ind w:left="3447" w:hanging="360"/>
      </w:pPr>
      <w:rPr>
        <w:rFonts w:hint="default" w:ascii="Symbol" w:hAnsi="Symbol"/>
      </w:rPr>
    </w:lvl>
    <w:lvl w:ilvl="4" w:tplc="AFB68EEC">
      <w:start w:val="1"/>
      <w:numFmt w:val="bullet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 w:tplc="84DA4438">
      <w:start w:val="1"/>
      <w:numFmt w:val="bullet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 w:tplc="934424BC">
      <w:start w:val="1"/>
      <w:numFmt w:val="bullet"/>
      <w:lvlText w:val=""/>
      <w:lvlJc w:val="left"/>
      <w:pPr>
        <w:ind w:left="5607" w:hanging="360"/>
      </w:pPr>
      <w:rPr>
        <w:rFonts w:hint="default" w:ascii="Symbol" w:hAnsi="Symbol"/>
      </w:rPr>
    </w:lvl>
    <w:lvl w:ilvl="7" w:tplc="AF221622">
      <w:start w:val="1"/>
      <w:numFmt w:val="bullet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 w:tplc="693465A2">
      <w:start w:val="1"/>
      <w:numFmt w:val="bullet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17">
    <w:multiLevelType w:val="hybridMultilevel"/>
    <w:lvl w:ilvl="0" w:tplc="8F3A1B34">
      <w:start w:val="1"/>
      <w:numFmt w:val="decimal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 w:tplc="D8FA662E">
      <w:start w:val="1"/>
      <w:numFmt w:val="decimal"/>
      <w:lvlText w:val="%2."/>
      <w:lvlJc w:val="right"/>
      <w:pPr>
        <w:ind w:left="1429" w:hanging="360"/>
      </w:pPr>
    </w:lvl>
    <w:lvl w:ilvl="2" w:tplc="758AB3B4">
      <w:start w:val="1"/>
      <w:numFmt w:val="decimal"/>
      <w:lvlText w:val="%3."/>
      <w:lvlJc w:val="right"/>
      <w:pPr>
        <w:ind w:left="2149" w:hanging="180"/>
      </w:pPr>
    </w:lvl>
    <w:lvl w:ilvl="3" w:tplc="9DDEF7FE">
      <w:start w:val="1"/>
      <w:numFmt w:val="decimal"/>
      <w:lvlText w:val="%4."/>
      <w:lvlJc w:val="right"/>
      <w:pPr>
        <w:ind w:left="2869" w:hanging="360"/>
      </w:pPr>
    </w:lvl>
    <w:lvl w:ilvl="4" w:tplc="916EB846">
      <w:start w:val="1"/>
      <w:numFmt w:val="decimal"/>
      <w:lvlText w:val="%5."/>
      <w:lvlJc w:val="right"/>
      <w:pPr>
        <w:ind w:left="3589" w:hanging="360"/>
      </w:pPr>
    </w:lvl>
    <w:lvl w:ilvl="5" w:tplc="D69A6A84">
      <w:start w:val="1"/>
      <w:numFmt w:val="decimal"/>
      <w:lvlText w:val="%6."/>
      <w:lvlJc w:val="right"/>
      <w:pPr>
        <w:ind w:left="4309" w:hanging="180"/>
      </w:pPr>
    </w:lvl>
    <w:lvl w:ilvl="6" w:tplc="A1547CFC">
      <w:start w:val="1"/>
      <w:numFmt w:val="decimal"/>
      <w:lvlText w:val="%7."/>
      <w:lvlJc w:val="right"/>
      <w:pPr>
        <w:ind w:left="5029" w:hanging="360"/>
      </w:pPr>
    </w:lvl>
    <w:lvl w:ilvl="7" w:tplc="6130CB9C">
      <w:start w:val="1"/>
      <w:numFmt w:val="decimal"/>
      <w:lvlText w:val="%8."/>
      <w:lvlJc w:val="right"/>
      <w:pPr>
        <w:ind w:left="5749" w:hanging="360"/>
      </w:pPr>
    </w:lvl>
    <w:lvl w:ilvl="8" w:tplc="DBC6BF58">
      <w:start w:val="1"/>
      <w:numFmt w:val="decimal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 w:tplc="3DEE3EDC">
      <w:start w:val="1"/>
      <w:numFmt w:val="bullet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 w:tplc="D5968DB2">
      <w:start w:val="1"/>
      <w:numFmt w:val="bullet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 w:tplc="6DDE404A">
      <w:start w:val="1"/>
      <w:numFmt w:val="bullet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 w:tplc="D030707E">
      <w:start w:val="1"/>
      <w:numFmt w:val="bullet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 w:tplc="31C23BAA">
      <w:start w:val="1"/>
      <w:numFmt w:val="bullet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 w:tplc="4C3C2F04">
      <w:start w:val="1"/>
      <w:numFmt w:val="bullet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 w:tplc="2702E3E8">
      <w:start w:val="1"/>
      <w:numFmt w:val="bullet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 w:tplc="BC349708">
      <w:start w:val="1"/>
      <w:numFmt w:val="bullet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 w:tplc="714C0D3C">
      <w:start w:val="1"/>
      <w:numFmt w:val="bullet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9">
    <w:multiLevelType w:val="hybridMultilevel"/>
    <w:lvl w:ilvl="0" w:tplc="485C58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plc="9B60171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plc="D6CA7CD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plc="5200247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plc="0F6C0D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plc="713CA04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plc="20E43D6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plc="FE082A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plc="BA9218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>
    <w:multiLevelType w:val="hybridMultilevel"/>
    <w:lvl w:ilvl="0" w:tplc="57D280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4FA4A8E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C06F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30A55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7AA8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CEBD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848DD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60AF3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53CBD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6"/>
  </w:num>
  <w:num w:numId="4">
    <w:abstractNumId w:val="9"/>
  </w:num>
  <w:num w:numId="5">
    <w:abstractNumId w:val="2"/>
  </w:num>
  <w:num w:numId="6">
    <w:abstractNumId w:val="19"/>
  </w:num>
  <w:num w:numId="7">
    <w:abstractNumId w:val="13"/>
  </w:num>
  <w:num w:numId="8">
    <w:abstractNumId w:val="11"/>
  </w:num>
  <w:num w:numId="9">
    <w:abstractNumId w:val="17"/>
  </w:num>
  <w:num w:numId="10">
    <w:abstractNumId w:val="1"/>
  </w:num>
  <w:num w:numId="11">
    <w:abstractNumId w:val="18"/>
  </w:num>
  <w:num w:numId="12">
    <w:abstractNumId w:val="0"/>
  </w:num>
  <w:num w:numId="13">
    <w:abstractNumId w:val="3"/>
  </w:num>
  <w:num w:numId="14">
    <w:abstractNumId w:val="14"/>
  </w:num>
  <w:num w:numId="15">
    <w:abstractNumId w:val="8"/>
  </w:num>
  <w:num w:numId="16">
    <w:abstractNumId w:val="5"/>
  </w:num>
  <w:num w:numId="17">
    <w:abstractNumId w:val="6"/>
  </w:num>
  <w:num w:numId="18">
    <w:abstractNumId w:val="4"/>
  </w:num>
  <w:num w:numId="19">
    <w:abstractNumId w:val="12"/>
  </w:num>
  <w:num w:numId="20">
    <w:abstractNumId w:val="7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b/>
      <w:bCs/>
      <w:sz w:val="26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b/>
      <w:bCs/>
      <w:sz w:val="24"/>
      <w:szCs w:val="24"/>
    </w:rPr>
  </w:style>
  <w:style w:type="character" w:styleId="60" w:customStyle="1">
    <w:name w:val="Заголовок 6 Знак"/>
    <w:basedOn w:val="a0"/>
    <w:link w:val="6"/>
    <w:uiPriority w:val="9"/>
    <w:rPr>
      <w:rFonts w:ascii="Arial" w:hAnsi="Arial" w:eastAsia="Arial" w:cs="Arial"/>
      <w:b/>
      <w:bCs/>
      <w:sz w:val="22"/>
      <w:szCs w:val="22"/>
    </w:rPr>
  </w:style>
  <w:style w:type="character" w:styleId="70" w:customStyle="1">
    <w:name w:val="Заголовок 7 Знак"/>
    <w:basedOn w:val="a0"/>
    <w:link w:val="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0" w:customStyle="1">
    <w:name w:val="Заголовок 8 Знак"/>
    <w:basedOn w:val="a0"/>
    <w:link w:val="8"/>
    <w:uiPriority w:val="9"/>
    <w:rPr>
      <w:rFonts w:ascii="Arial" w:hAnsi="Arial" w:eastAsia="Arial" w:cs="Arial"/>
      <w:i/>
      <w:iCs/>
      <w:sz w:val="22"/>
      <w:szCs w:val="22"/>
    </w:rPr>
  </w:style>
  <w:style w:type="character" w:styleId="90" w:customStyle="1">
    <w:name w:val="Заголовок 9 Знак"/>
    <w:basedOn w:val="a0"/>
    <w:link w:val="9"/>
    <w:uiPriority w:val="9"/>
    <w:rPr>
      <w:rFonts w:ascii="Arial" w:hAnsi="Arial" w:eastAsia="Arial" w:cs="Arial"/>
      <w:i/>
      <w:iCs/>
      <w:sz w:val="21"/>
      <w:szCs w:val="21"/>
    </w:r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styleId="22" w:customStyle="1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a4" w:customStyle="1">
    <w:name w:val="Выделенная цитата Знак"/>
    <w:link w:val="a3"/>
    <w:uiPriority w:val="30"/>
    <w:rPr>
      <w:i/>
    </w:rPr>
  </w:style>
  <w:style w:type="character" w:styleId="HeaderChar" w:customStyle="1">
    <w:name w:val="Header Char"/>
    <w:basedOn w:val="a0"/>
    <w:uiPriority w:val="99"/>
  </w:style>
  <w:style w:type="character" w:styleId="FooterChar" w:customStyle="1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CaptionChar" w:customStyle="1">
    <w:name w:val="Caption Char"/>
    <w:uiPriority w:val="35"/>
  </w:style>
  <w:style w:type="table" w:styleId="a6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TableGridLight" w:customStyle="1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</w:style>
  <w:style w:type="table" w:styleId="GridTable1Light-Accent1" w:customStyle="1">
    <w:name w:val="Grid Table 1 Light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GridTable1Light-Accent2" w:customStyle="1">
    <w:name w:val="Grid Table 1 Light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GridTable1Light-Accent3" w:customStyle="1">
    <w:name w:val="Grid Table 1 Light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GridTable1Light-Accent4" w:customStyle="1">
    <w:name w:val="Grid Table 1 Light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GridTable1Light-Accent5" w:customStyle="1">
    <w:name w:val="Grid Table 1 Light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GridTable1Light-Accent6" w:customStyle="1">
    <w:name w:val="Grid Table 1 Light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2-Accent1" w:customStyle="1">
    <w:name w:val="Grid Table 2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2-Accent2" w:customStyle="1">
    <w:name w:val="Grid Table 2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2-Accent3" w:customStyle="1">
    <w:name w:val="Grid Table 2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2-Accent4" w:customStyle="1">
    <w:name w:val="Grid Table 2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2-Accent5" w:customStyle="1">
    <w:name w:val="Grid Table 2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2-Accent6" w:customStyle="1">
    <w:name w:val="Grid Table 2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3-Accent1" w:customStyle="1">
    <w:name w:val="Grid Table 3 - Accent 1"/>
    <w:basedOn w:val="a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</w:style>
  <w:style w:type="table" w:styleId="GridTable3-Accent2" w:customStyle="1">
    <w:name w:val="Grid Table 3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3-Accent3" w:customStyle="1">
    <w:name w:val="Grid Table 3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3-Accent4" w:customStyle="1">
    <w:name w:val="Grid Table 3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3-Accent5" w:customStyle="1">
    <w:name w:val="Grid Table 3 - Accent 5"/>
    <w:basedOn w:val="a1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3-Accent6" w:customStyle="1">
    <w:name w:val="Grid Table 3 - Accent 6"/>
    <w:basedOn w:val="a1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</w:style>
  <w:style w:type="table" w:styleId="GridTable4-Accent1" w:customStyle="1">
    <w:name w:val="Grid Table 4 - Accent 1"/>
    <w:basedOn w:val="a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styleId="GridTable4-Accent2" w:customStyle="1">
    <w:name w:val="Grid Table 4 - Accent 2"/>
    <w:basedOn w:val="a1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GridTable4-Accent3" w:customStyle="1">
    <w:name w:val="Grid Table 4 - Accent 3"/>
    <w:basedOn w:val="a1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GridTable4-Accent4" w:customStyle="1">
    <w:name w:val="Grid Table 4 - Accent 4"/>
    <w:basedOn w:val="a1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GridTable4-Accent5" w:customStyle="1">
    <w:name w:val="Grid Table 4 - Accent 5"/>
    <w:basedOn w:val="a1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GridTable4-Accent6" w:customStyle="1">
    <w:name w:val="Grid Table 4 - Accent 6"/>
    <w:basedOn w:val="a1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band1Horz">
      <w:tcPr>
        <w:shd w:val="clear" w:color="8a8a8a" w:themeColor="text1" w:themeTint="75" w:fill="8a8a8a" w:themeFill="text1" w:themeFillTint="75"/>
      </w:tcPr>
    </w:tblStylePr>
  </w:style>
  <w:style w:type="table" w:styleId="GridTable5Dark-Accent1" w:customStyle="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band1Horz">
      <w:tcPr>
        <w:shd w:val="clear" w:color="aec4e0" w:themeColor="accent1" w:themeTint="75" w:fill="aec4e0" w:themeFill="accent1" w:themeFillTint="75"/>
      </w:tcPr>
    </w:tblStylePr>
  </w:style>
  <w:style w:type="table" w:styleId="GridTable5Dark-Accent2" w:customStyle="1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styleId="GridTable5Dark-Accent3" w:customStyle="1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band1Horz">
      <w:tcPr>
        <w:shd w:val="clear" w:color="d0dfb2" w:themeColor="accent3" w:themeTint="75" w:fill="d0dfb2" w:themeFill="accent3" w:themeFillTint="75"/>
      </w:tcPr>
    </w:tblStylePr>
  </w:style>
  <w:style w:type="table" w:styleId="GridTable5Dark-Accent4" w:customStyle="1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styleId="GridTable5Dark-Accent5" w:customStyle="1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styleId="GridTable5Dark-Accent6" w:customStyle="1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 w:customStyle="1">
    <w:name w:val="Grid Table 6 Colorful - Accent 1"/>
    <w:basedOn w:val="a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6Colorful-Accent2" w:customStyle="1">
    <w:name w:val="Grid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6Colorful-Accent3" w:customStyle="1">
    <w:name w:val="Grid Table 6 Colorful - Accent 3"/>
    <w:basedOn w:val="a1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6Colorful-Accent4" w:customStyle="1">
    <w:name w:val="Grid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6Colorful-Accent5" w:customStyle="1">
    <w:name w:val="Grid Table 6 Colorful - Accent 5"/>
    <w:basedOn w:val="a1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6Colorful-Accent6" w:customStyle="1">
    <w:name w:val="Grid Table 6 Colorful - Accent 6"/>
    <w:basedOn w:val="a1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 w:customStyle="1">
    <w:name w:val="Grid Table 7 Colorful - Accent 1"/>
    <w:basedOn w:val="a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styleId="GridTable7Colorful-Accent2" w:customStyle="1">
    <w:name w:val="Grid Table 7 Colorful - Accent 2"/>
    <w:basedOn w:val="a1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GridTable7Colorful-Accent3" w:customStyle="1">
    <w:name w:val="Grid Table 7 Colorful - Accent 3"/>
    <w:basedOn w:val="a1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styleId="GridTable7Colorful-Accent4" w:customStyle="1">
    <w:name w:val="Grid Table 7 Colorful - Accent 4"/>
    <w:basedOn w:val="a1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GridTable7Colorful-Accent5" w:customStyle="1">
    <w:name w:val="Grid Table 7 Colorful - Accent 5"/>
    <w:basedOn w:val="a1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ridTable7Colorful-Accent6" w:customStyle="1">
    <w:name w:val="Grid Table 7 Colorful - Accent 6"/>
    <w:basedOn w:val="a1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tcPr>
        <w:shd w:val="clear" w:color="bfbfbf" w:themeColor="text1" w:themeTint="40" w:fill="bfbfbf" w:themeFill="text1" w:themeFillTint="40"/>
      </w:tcPr>
    </w:tblStylePr>
  </w:style>
  <w:style w:type="table" w:styleId="ListTable1Light-Accent1" w:customStyle="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styleId="ListTable1Light-Accent2" w:customStyle="1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tcPr>
        <w:shd w:val="clear" w:color="efd2d2" w:themeColor="accent2" w:themeTint="40" w:fill="efd2d2" w:themeFill="accent2" w:themeFillTint="40"/>
      </w:tcPr>
    </w:tblStylePr>
  </w:style>
  <w:style w:type="table" w:styleId="ListTable1Light-Accent3" w:customStyle="1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tcPr>
        <w:shd w:val="clear" w:color="e5eed5" w:themeColor="accent3" w:themeTint="40" w:fill="e5eed5" w:themeFill="accent3" w:themeFillTint="40"/>
      </w:tcPr>
    </w:tblStylePr>
  </w:style>
  <w:style w:type="table" w:styleId="ListTable1Light-Accent4" w:customStyle="1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styleId="ListTable1Light-Accent5" w:customStyle="1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styleId="ListTable1Light-Accent6" w:customStyle="1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2-Accent1" w:customStyle="1">
    <w:name w:val="List Table 2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2-Accent2" w:customStyle="1">
    <w:name w:val="List Table 2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2-Accent3" w:customStyle="1">
    <w:name w:val="List Table 2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2-Accent4" w:customStyle="1">
    <w:name w:val="List Table 2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2-Accent5" w:customStyle="1">
    <w:name w:val="List Table 2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2-Accent6" w:customStyle="1">
    <w:name w:val="List Table 2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styleId="ListTable3-Accent2" w:customStyle="1">
    <w:name w:val="List Table 3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</w:style>
  <w:style w:type="table" w:styleId="ListTable3-Accent3" w:customStyle="1">
    <w:name w:val="List Table 3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</w:style>
  <w:style w:type="table" w:styleId="ListTable3-Accent4" w:customStyle="1">
    <w:name w:val="List Table 3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styleId="ListTable3-Accent5" w:customStyle="1">
    <w:name w:val="List Table 3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styleId="ListTable3-Accent6" w:customStyle="1">
    <w:name w:val="List Table 3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</w:style>
  <w:style w:type="table" w:styleId="ListTable4-Accent1" w:customStyle="1">
    <w:name w:val="List Table 4 - Accent 1"/>
    <w:basedOn w:val="a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styleId="ListTable4-Accent2" w:customStyle="1">
    <w:name w:val="List Table 4 - Accent 2"/>
    <w:basedOn w:val="a1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</w:style>
  <w:style w:type="table" w:styleId="ListTable4-Accent3" w:customStyle="1">
    <w:name w:val="List Table 4 - Accent 3"/>
    <w:basedOn w:val="a1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</w:style>
  <w:style w:type="table" w:styleId="ListTable4-Accent4" w:customStyle="1">
    <w:name w:val="List Table 4 - Accent 4"/>
    <w:basedOn w:val="a1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styleId="ListTable4-Accent5" w:customStyle="1">
    <w:name w:val="List Table 4 - Accent 5"/>
    <w:basedOn w:val="a1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styleId="ListTable4-Accent6" w:customStyle="1">
    <w:name w:val="List Table 4 - Accent 6"/>
    <w:basedOn w:val="a1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</w:style>
  <w:style w:type="table" w:styleId="ListTable5Dark-Accent1" w:customStyle="1">
    <w:name w:val="List Table 5 Dark - Accent 1"/>
    <w:basedOn w:val="a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ListTable5Dark-Accent2" w:customStyle="1">
    <w:name w:val="List Table 5 Dark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</w:style>
  <w:style w:type="table" w:styleId="ListTable5Dark-Accent3" w:customStyle="1">
    <w:name w:val="List Table 5 Dark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</w:style>
  <w:style w:type="table" w:styleId="ListTable5Dark-Accent4" w:customStyle="1">
    <w:name w:val="List Table 5 Dark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styleId="ListTable5Dark-Accent5" w:customStyle="1">
    <w:name w:val="List Table 5 Dark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styleId="ListTable5Dark-Accent6" w:customStyle="1">
    <w:name w:val="List Table 5 Dark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 w:customStyle="1">
    <w:name w:val="List Table 6 Colorful - Accent 1"/>
    <w:basedOn w:val="a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6Colorful-Accent2" w:customStyle="1">
    <w:name w:val="List Table 6 Colorful - Accent 2"/>
    <w:basedOn w:val="a1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6Colorful-Accent3" w:customStyle="1">
    <w:name w:val="List Table 6 Colorful - Accent 3"/>
    <w:basedOn w:val="a1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6Colorful-Accent4" w:customStyle="1">
    <w:name w:val="List Table 6 Colorful - Accent 4"/>
    <w:basedOn w:val="a1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6Colorful-Accent5" w:customStyle="1">
    <w:name w:val="List Table 6 Colorful - Accent 5"/>
    <w:basedOn w:val="a1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6Colorful-Accent6" w:customStyle="1">
    <w:name w:val="List Table 6 Colorful - Accent 6"/>
    <w:basedOn w:val="a1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 w:customStyle="1">
    <w:name w:val="List Table 7 Colorful - Accent 1"/>
    <w:basedOn w:val="a1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styleId="ListTable7Colorful-Accent2" w:customStyle="1">
    <w:name w:val="List Table 7 Colorful - Accent 2"/>
    <w:basedOn w:val="a1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styleId="ListTable7Colorful-Accent3" w:customStyle="1">
    <w:name w:val="List Table 7 Colorful - Accent 3"/>
    <w:basedOn w:val="a1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styleId="ListTable7Colorful-Accent4" w:customStyle="1">
    <w:name w:val="List Table 7 Colorful - Accent 4"/>
    <w:basedOn w:val="a1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styleId="ListTable7Colorful-Accent5" w:customStyle="1">
    <w:name w:val="List Table 7 Colorful - Accent 5"/>
    <w:basedOn w:val="a1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styleId="ListTable7Colorful-Accent6" w:customStyle="1">
    <w:name w:val="List Table 7 Colorful - Accent 6"/>
    <w:basedOn w:val="a1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ned-Accent" w:customStyle="1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Lined-Accent1" w:customStyle="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Lined-Accent2" w:customStyle="1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Lined-Accent3" w:customStyle="1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Lined-Accent4" w:customStyle="1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Lined-Accent5" w:customStyle="1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Lined-Accent6" w:customStyle="1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Lined-Accent" w:customStyle="1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</w:style>
  <w:style w:type="table" w:styleId="BorderedLined-Accent1" w:customStyle="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styleId="BorderedLined-Accent2" w:customStyle="1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styleId="BorderedLined-Accent3" w:customStyle="1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</w:style>
  <w:style w:type="table" w:styleId="BorderedLined-Accent4" w:customStyle="1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styleId="BorderedLined-Accent5" w:customStyle="1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styleId="BorderedLined-Accent6" w:customStyle="1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</w:style>
  <w:style w:type="table" w:styleId="Bordered" w:customStyle="1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</w:style>
  <w:style w:type="table" w:styleId="Bordered-Accent1" w:customStyle="1">
    <w:name w:val="Bordered - Accent 1"/>
    <w:basedOn w:val="a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</w:style>
  <w:style w:type="table" w:styleId="Bordered-Accent2" w:customStyle="1">
    <w:name w:val="Bordered - Accent 2"/>
    <w:basedOn w:val="a1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</w:style>
  <w:style w:type="table" w:styleId="Bordered-Accent3" w:customStyle="1">
    <w:name w:val="Bordered - Accent 3"/>
    <w:basedOn w:val="a1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styleId="Bordered-Accent4" w:customStyle="1">
    <w:name w:val="Bordered - Accent 4"/>
    <w:basedOn w:val="a1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styleId="Bordered-Accent5" w:customStyle="1">
    <w:name w:val="Bordered - Accent 5"/>
    <w:basedOn w:val="a1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</w:style>
  <w:style w:type="table" w:styleId="Bordered-Accent6" w:customStyle="1">
    <w:name w:val="Bordered - Accent 6"/>
    <w:basedOn w:val="a1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styleId="a8" w:customStyle="1">
    <w:name w:val="Текст сноски Знак"/>
    <w:link w:val="a7"/>
    <w:uiPriority w:val="99"/>
    <w:rPr>
      <w:sz w:val="18"/>
    </w:rPr>
  </w:style>
  <w:style w:type="paragraph" w:styleId="a9">
    <w:name w:val="endnote text"/>
    <w:basedOn w:val="a"/>
    <w:link w:val="aa"/>
    <w:uiPriority w:val="99"/>
    <w:semiHidden/>
    <w:unhideWhenUsed/>
    <w:rPr>
      <w:sz w:val="20"/>
    </w:rPr>
  </w:style>
  <w:style w:type="character" w:styleId="aa" w:customStyle="1">
    <w:name w:val="Текст концевой сноски Знак"/>
    <w:link w:val="a9"/>
    <w:uiPriority w:val="99"/>
    <w:rPr>
      <w:sz w:val="20"/>
    </w:rPr>
  </w:style>
  <w:style w:type="character" w:styleId="ab">
    <w:name w:val="endnote reference"/>
    <w:basedOn w:val="a0"/>
    <w:uiPriority w:val="99"/>
    <w:semiHidden/>
    <w:unhideWhenUsed/>
    <w:rPr>
      <w:vertAlign w:val="superscript"/>
    </w:rPr>
  </w:style>
  <w:style w:type="paragraph" w:styleId="ac">
    <w:name w:val="TOC Heading"/>
    <w:uiPriority w:val="39"/>
    <w:unhideWhenUsed/>
  </w:style>
  <w:style w:type="paragraph" w:styleId="ad">
    <w:name w:val="table of figures"/>
    <w:basedOn w:val="a"/>
    <w:next w:val="a"/>
    <w:uiPriority w:val="99"/>
    <w:unhideWhenUsed/>
  </w:style>
  <w:style w:type="character" w:styleId="1" w:customStyle="1">
    <w:name w:val="Обычный1"/>
    <w:rPr>
      <w:rFonts w:ascii="Times New Roman" w:hAnsi="Times New Roman"/>
      <w:sz w:val="24"/>
    </w:rPr>
  </w:style>
  <w:style w:type="paragraph" w:styleId="24">
    <w:name w:val="toc 2"/>
    <w:next w:val="a"/>
    <w:link w:val="25"/>
    <w:uiPriority w:val="39"/>
    <w:pPr>
      <w:ind w:left="200"/>
    </w:pPr>
  </w:style>
  <w:style w:type="character" w:styleId="25" w:customStyle="1">
    <w:name w:val="Оглавление 2 Знак"/>
    <w:link w:val="24"/>
  </w:style>
  <w:style w:type="paragraph" w:styleId="42">
    <w:name w:val="toc 4"/>
    <w:next w:val="a"/>
    <w:link w:val="43"/>
    <w:uiPriority w:val="39"/>
    <w:pPr>
      <w:ind w:left="600"/>
    </w:pPr>
  </w:style>
  <w:style w:type="character" w:styleId="43" w:customStyle="1">
    <w:name w:val="Оглавление 4 Знак"/>
    <w:link w:val="42"/>
  </w:style>
  <w:style w:type="paragraph" w:styleId="61">
    <w:name w:val="toc 6"/>
    <w:next w:val="a"/>
    <w:link w:val="62"/>
    <w:uiPriority w:val="39"/>
    <w:pPr>
      <w:ind w:left="1000"/>
    </w:pPr>
  </w:style>
  <w:style w:type="character" w:styleId="62" w:customStyle="1">
    <w:name w:val="Оглавление 6 Знак"/>
    <w:link w:val="61"/>
  </w:style>
  <w:style w:type="paragraph" w:styleId="71">
    <w:name w:val="toc 7"/>
    <w:next w:val="a"/>
    <w:link w:val="72"/>
    <w:uiPriority w:val="39"/>
    <w:pPr>
      <w:ind w:left="1200"/>
    </w:pPr>
  </w:style>
  <w:style w:type="character" w:styleId="72" w:customStyle="1">
    <w:name w:val="Оглавление 7 Знак"/>
    <w:link w:val="71"/>
  </w:style>
  <w:style w:type="character" w:styleId="30" w:customStyle="1">
    <w:name w:val="Заголовок 3 Знак"/>
    <w:link w:val="3"/>
    <w:rPr>
      <w:rFonts w:ascii="XO Thames" w:hAnsi="XO Thames"/>
      <w:b/>
      <w:i/>
      <w:color w:val="000000"/>
    </w:rPr>
  </w:style>
  <w:style w:type="paragraph" w:styleId="articledecorationfirst" w:customStyle="1">
    <w:name w:val="article_decoration_first"/>
    <w:basedOn w:val="a"/>
    <w:link w:val="articledecorationfirst0"/>
    <w:pPr>
      <w:spacing w:beforeAutospacing="1" w:afterAutospacing="1"/>
    </w:pPr>
  </w:style>
  <w:style w:type="character" w:styleId="articledecorationfirst0" w:customStyle="1">
    <w:name w:val="article_decoration_first"/>
    <w:basedOn w:val="1"/>
    <w:link w:val="articledecorationfirst"/>
    <w:rPr>
      <w:rFonts w:ascii="Times New Roman" w:hAnsi="Times New Roman"/>
      <w:sz w:val="24"/>
    </w:rPr>
  </w:style>
  <w:style w:type="paragraph" w:styleId="13" w:customStyle="1">
    <w:name w:val="Строгий1"/>
    <w:basedOn w:val="14"/>
    <w:link w:val="ae"/>
    <w:rPr>
      <w:b/>
    </w:rPr>
  </w:style>
  <w:style w:type="character" w:styleId="ae">
    <w:name w:val="Strong"/>
    <w:basedOn w:val="a0"/>
    <w:link w:val="13"/>
    <w:rPr>
      <w:b/>
    </w:rPr>
  </w:style>
  <w:style w:type="paragraph" w:styleId="af">
    <w:name w:val="Balloon Text"/>
    <w:basedOn w:val="a"/>
    <w:link w:val="af0"/>
    <w:rPr>
      <w:rFonts w:ascii="Tahoma" w:hAnsi="Tahoma"/>
      <w:sz w:val="16"/>
    </w:rPr>
  </w:style>
  <w:style w:type="character" w:styleId="af0" w:customStyle="1">
    <w:name w:val="Текст выноски Знак"/>
    <w:basedOn w:val="1"/>
    <w:link w:val="af"/>
    <w:rPr>
      <w:rFonts w:ascii="Tahoma" w:hAnsi="Tahoma"/>
      <w:sz w:val="16"/>
    </w:rPr>
  </w:style>
  <w:style w:type="paragraph" w:styleId="ConsPlusNormal" w:customStyle="1">
    <w:name w:val="ConsPlusNormal"/>
    <w:link w:val="ConsPlusNormal0"/>
    <w:pPr>
      <w:ind w:firstLine="720"/>
    </w:pPr>
    <w:rPr>
      <w:rFonts w:ascii="Arial" w:hAnsi="Arial"/>
    </w:rPr>
  </w:style>
  <w:style w:type="character" w:styleId="ConsPlusNormal0" w:customStyle="1">
    <w:name w:val="ConsPlusNormal"/>
    <w:link w:val="ConsPlusNormal"/>
    <w:rPr>
      <w:rFonts w:ascii="Arial" w:hAnsi="Arial"/>
    </w:rPr>
  </w:style>
  <w:style w:type="paragraph" w:styleId="32">
    <w:name w:val="toc 3"/>
    <w:next w:val="a"/>
    <w:link w:val="33"/>
    <w:uiPriority w:val="39"/>
    <w:pPr>
      <w:ind w:left="400"/>
    </w:pPr>
  </w:style>
  <w:style w:type="character" w:styleId="33" w:customStyle="1">
    <w:name w:val="Оглавление 3 Знак"/>
    <w:link w:val="32"/>
  </w:style>
  <w:style w:type="paragraph" w:styleId="15" w:customStyle="1">
    <w:name w:val="Просмотренная гиперссылка1"/>
    <w:basedOn w:val="14"/>
    <w:link w:val="af1"/>
    <w:rPr>
      <w:color w:val="800080"/>
      <w:u w:val="single"/>
    </w:rPr>
  </w:style>
  <w:style w:type="character" w:styleId="af1">
    <w:name w:val="FollowedHyperlink"/>
    <w:basedOn w:val="a0"/>
    <w:link w:val="15"/>
    <w:rPr>
      <w:color w:val="800080"/>
      <w:u w:val="single"/>
    </w:rPr>
  </w:style>
  <w:style w:type="character" w:styleId="50" w:customStyle="1">
    <w:name w:val="Заголовок 5 Знак"/>
    <w:link w:val="5"/>
    <w:rPr>
      <w:rFonts w:ascii="XO Thames" w:hAnsi="XO Thames"/>
      <w:b/>
      <w:color w:val="000000"/>
      <w:sz w:val="22"/>
    </w:rPr>
  </w:style>
  <w:style w:type="character" w:styleId="11" w:customStyle="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styleId="af2">
    <w:name w:val="No Spacing"/>
    <w:link w:val="af3"/>
    <w:uiPriority w:val="1"/>
    <w:qFormat/>
    <w:rPr>
      <w:sz w:val="22"/>
    </w:rPr>
  </w:style>
  <w:style w:type="character" w:styleId="af3" w:customStyle="1">
    <w:name w:val="Без интервала Знак"/>
    <w:link w:val="af2"/>
    <w:uiPriority w:val="1"/>
    <w:rPr>
      <w:sz w:val="22"/>
    </w:rPr>
  </w:style>
  <w:style w:type="paragraph" w:styleId="16" w:customStyle="1">
    <w:name w:val="Гиперссылка1"/>
    <w:link w:val="af4"/>
    <w:rPr>
      <w:color w:val="0000ff"/>
      <w:u w:val="single"/>
    </w:rPr>
  </w:style>
  <w:style w:type="character" w:styleId="af4">
    <w:name w:val="Hyperlink"/>
    <w:link w:val="16"/>
    <w:uiPriority w:val="99"/>
    <w:rPr>
      <w:color w:val="0000ff"/>
      <w:u w:val="single"/>
    </w:rPr>
  </w:style>
  <w:style w:type="paragraph" w:styleId="Footnote" w:customStyle="1">
    <w:name w:val="Footnote"/>
    <w:basedOn w:val="a"/>
    <w:link w:val="Footnote0"/>
    <w:rPr>
      <w:sz w:val="20"/>
    </w:rPr>
  </w:style>
  <w:style w:type="character" w:styleId="Footnote0" w:customStyle="1">
    <w:name w:val="Footnote"/>
    <w:basedOn w:val="1"/>
    <w:link w:val="Footnote"/>
    <w:rPr>
      <w:rFonts w:ascii="Times New Roman" w:hAnsi="Times New Roman"/>
      <w:sz w:val="20"/>
    </w:rPr>
  </w:style>
  <w:style w:type="paragraph" w:styleId="17">
    <w:name w:val="toc 1"/>
    <w:next w:val="a"/>
    <w:link w:val="18"/>
    <w:uiPriority w:val="39"/>
    <w:rPr>
      <w:rFonts w:ascii="XO Thames" w:hAnsi="XO Thames"/>
      <w:b/>
    </w:rPr>
  </w:style>
  <w:style w:type="character" w:styleId="18" w:customStyle="1">
    <w:name w:val="Оглавление 1 Знак"/>
    <w:link w:val="17"/>
    <w:rPr>
      <w:rFonts w:ascii="XO Thames" w:hAnsi="XO Thames"/>
      <w:b/>
    </w:rPr>
  </w:style>
  <w:style w:type="paragraph" w:styleId="HeaderandFooter" w:customStyle="1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styleId="HeaderandFooter0" w:customStyle="1">
    <w:name w:val="Header and Footer"/>
    <w:link w:val="HeaderandFooter"/>
    <w:rPr>
      <w:rFonts w:ascii="XO Thames" w:hAnsi="XO Thames"/>
      <w:sz w:val="20"/>
    </w:rPr>
  </w:style>
  <w:style w:type="paragraph" w:styleId="af5">
    <w:name w:val="header"/>
    <w:basedOn w:val="a"/>
    <w:link w:val="af6"/>
    <w:uiPriority w:val="9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styleId="af6" w:customStyle="1">
    <w:name w:val="Верхний колонтитул Знак"/>
    <w:basedOn w:val="1"/>
    <w:link w:val="af5"/>
    <w:rPr>
      <w:rFonts w:ascii="Calibri" w:hAnsi="Calibri"/>
      <w:sz w:val="22"/>
    </w:rPr>
  </w:style>
  <w:style w:type="paragraph" w:styleId="91">
    <w:name w:val="toc 9"/>
    <w:next w:val="a"/>
    <w:link w:val="92"/>
    <w:uiPriority w:val="39"/>
    <w:pPr>
      <w:ind w:left="1600"/>
    </w:pPr>
  </w:style>
  <w:style w:type="character" w:styleId="92" w:customStyle="1">
    <w:name w:val="Оглавление 9 Знак"/>
    <w:link w:val="91"/>
  </w:style>
  <w:style w:type="paragraph" w:styleId="af7">
    <w:name w:val="Normal (Web)"/>
    <w:basedOn w:val="a"/>
    <w:link w:val="af8"/>
    <w:uiPriority w:val="99"/>
    <w:pPr>
      <w:spacing w:beforeAutospacing="1" w:afterAutospacing="1"/>
    </w:pPr>
  </w:style>
  <w:style w:type="character" w:styleId="af8" w:customStyle="1">
    <w:name w:val="Обычный (веб) Знак"/>
    <w:basedOn w:val="1"/>
    <w:link w:val="af7"/>
    <w:uiPriority w:val="99"/>
    <w:rPr>
      <w:rFonts w:ascii="Times New Roman" w:hAnsi="Times New Roman"/>
      <w:sz w:val="24"/>
    </w:rPr>
  </w:style>
  <w:style w:type="paragraph" w:styleId="81">
    <w:name w:val="toc 8"/>
    <w:next w:val="a"/>
    <w:link w:val="82"/>
    <w:uiPriority w:val="39"/>
    <w:pPr>
      <w:ind w:left="1400"/>
    </w:pPr>
  </w:style>
  <w:style w:type="character" w:styleId="82" w:customStyle="1">
    <w:name w:val="Оглавление 8 Знак"/>
    <w:link w:val="81"/>
  </w:style>
  <w:style w:type="paragraph" w:styleId="14" w:customStyle="1">
    <w:name w:val="Основной шрифт абзаца1"/>
  </w:style>
  <w:style w:type="paragraph" w:styleId="af9">
    <w:name w:val="List Paragraph"/>
    <w:basedOn w:val="a"/>
    <w:link w:val="afa"/>
    <w:uiPriority w:val="34"/>
    <w:qFormat/>
    <w:pPr>
      <w:ind w:left="720"/>
      <w:contextualSpacing/>
    </w:pPr>
  </w:style>
  <w:style w:type="character" w:styleId="afa" w:customStyle="1">
    <w:name w:val="Абзац списка Знак"/>
    <w:basedOn w:val="1"/>
    <w:link w:val="af9"/>
    <w:rPr>
      <w:rFonts w:ascii="Times New Roman" w:hAnsi="Times New Roman"/>
      <w:sz w:val="24"/>
    </w:rPr>
  </w:style>
  <w:style w:type="paragraph" w:styleId="52">
    <w:name w:val="toc 5"/>
    <w:next w:val="a"/>
    <w:link w:val="53"/>
    <w:uiPriority w:val="39"/>
    <w:pPr>
      <w:ind w:left="800"/>
    </w:pPr>
  </w:style>
  <w:style w:type="character" w:styleId="53" w:customStyle="1">
    <w:name w:val="Оглавление 5 Знак"/>
    <w:link w:val="52"/>
  </w:style>
  <w:style w:type="paragraph" w:styleId="afb">
    <w:name w:val="Plain Text"/>
    <w:basedOn w:val="a"/>
    <w:link w:val="afc"/>
    <w:uiPriority w:val="99"/>
    <w:rPr>
      <w:rFonts w:ascii="Consolas" w:hAnsi="Consolas"/>
      <w:sz w:val="21"/>
    </w:rPr>
  </w:style>
  <w:style w:type="character" w:styleId="afc" w:customStyle="1">
    <w:name w:val="Текст Знак"/>
    <w:basedOn w:val="1"/>
    <w:link w:val="afb"/>
    <w:uiPriority w:val="99"/>
    <w:rPr>
      <w:rFonts w:ascii="Consolas" w:hAnsi="Consolas"/>
      <w:sz w:val="21"/>
    </w:rPr>
  </w:style>
  <w:style w:type="paragraph" w:styleId="afd">
    <w:name w:val="Subtitle"/>
    <w:next w:val="a"/>
    <w:link w:val="afe"/>
    <w:uiPriority w:val="11"/>
    <w:qFormat/>
    <w:rPr>
      <w:rFonts w:ascii="XO Thames" w:hAnsi="XO Thames"/>
      <w:i/>
      <w:color w:val="616161"/>
      <w:sz w:val="24"/>
    </w:rPr>
  </w:style>
  <w:style w:type="character" w:styleId="afe" w:customStyle="1">
    <w:name w:val="Подзаголовок Знак"/>
    <w:link w:val="afd"/>
    <w:rPr>
      <w:rFonts w:ascii="XO Thames" w:hAnsi="XO Thames"/>
      <w:i/>
      <w:color w:val="616161"/>
      <w:sz w:val="24"/>
    </w:rPr>
  </w:style>
  <w:style w:type="paragraph" w:styleId="toc10" w:customStyle="1">
    <w:name w:val="toc 10"/>
    <w:next w:val="a"/>
    <w:link w:val="toc100"/>
    <w:uiPriority w:val="39"/>
    <w:pPr>
      <w:ind w:left="1800"/>
    </w:pPr>
  </w:style>
  <w:style w:type="character" w:styleId="toc100" w:customStyle="1">
    <w:name w:val="toc 10"/>
    <w:link w:val="toc10"/>
  </w:style>
  <w:style w:type="paragraph" w:styleId="aff">
    <w:name w:val="Title"/>
    <w:next w:val="a"/>
    <w:link w:val="aff0"/>
    <w:uiPriority w:val="10"/>
    <w:qFormat/>
    <w:rPr>
      <w:rFonts w:ascii="XO Thames" w:hAnsi="XO Thames"/>
      <w:b/>
      <w:sz w:val="52"/>
    </w:rPr>
  </w:style>
  <w:style w:type="character" w:styleId="aff0" w:customStyle="1">
    <w:name w:val="Название Знак"/>
    <w:link w:val="aff"/>
    <w:rPr>
      <w:rFonts w:ascii="XO Thames" w:hAnsi="XO Thames"/>
      <w:b/>
      <w:sz w:val="52"/>
    </w:rPr>
  </w:style>
  <w:style w:type="character" w:styleId="40" w:customStyle="1">
    <w:name w:val="Заголовок 4 Знак"/>
    <w:link w:val="4"/>
    <w:rPr>
      <w:rFonts w:ascii="XO Thames" w:hAnsi="XO Thames"/>
      <w:b/>
      <w:color w:val="595959"/>
      <w:sz w:val="26"/>
    </w:rPr>
  </w:style>
  <w:style w:type="character" w:styleId="20" w:customStyle="1">
    <w:name w:val="Заголовок 2 Знак"/>
    <w:link w:val="2"/>
    <w:rPr>
      <w:rFonts w:ascii="XO Thames" w:hAnsi="XO Thames"/>
      <w:b/>
      <w:color w:val="00a0ff"/>
      <w:sz w:val="26"/>
    </w:rPr>
  </w:style>
  <w:style w:type="paragraph" w:styleId="19" w:customStyle="1">
    <w:name w:val="Знак сноски1"/>
    <w:basedOn w:val="14"/>
    <w:link w:val="aff1"/>
    <w:rPr>
      <w:vertAlign w:val="superscript"/>
    </w:rPr>
  </w:style>
  <w:style w:type="character" w:styleId="aff1">
    <w:name w:val="footnote reference"/>
    <w:basedOn w:val="a0"/>
    <w:link w:val="19"/>
    <w:uiPriority w:val="99"/>
    <w:rPr>
      <w:vertAlign w:val="superscript"/>
    </w:rPr>
  </w:style>
  <w:style w:type="paragraph" w:styleId="aff2">
    <w:name w:val="footer"/>
    <w:basedOn w:val="a"/>
    <w:link w:val="aff3"/>
    <w:uiPriority w:val="99"/>
    <w:pPr>
      <w:tabs>
        <w:tab w:val="center" w:pos="4677"/>
        <w:tab w:val="right" w:pos="9355"/>
      </w:tabs>
    </w:pPr>
  </w:style>
  <w:style w:type="character" w:styleId="aff3" w:customStyle="1">
    <w:name w:val="Нижний колонтитул Знак"/>
    <w:basedOn w:val="1"/>
    <w:link w:val="aff2"/>
    <w:rPr>
      <w:rFonts w:ascii="Times New Roman" w:hAnsi="Times New Roman"/>
      <w:sz w:val="24"/>
    </w:rPr>
  </w:style>
  <w:style w:type="character" w:styleId="211" w:customStyle="1">
    <w:name w:val="Основной текст (2) + 11"/>
    <w:basedOn w:val="a0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aff4" w:customStyle="1">
    <w:name w:val="Подпись к таблице"/>
    <w:basedOn w:val="a0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FontStyle11" w:customStyle="1">
    <w:name w:val="Font Style11"/>
    <w:basedOn w:val="a0"/>
    <w:rPr>
      <w:rFonts w:hint="default" w:ascii="Times New Roman" w:hAnsi="Times New Roman" w:cs="Times New Roman"/>
      <w:sz w:val="24"/>
      <w:szCs w:val="24"/>
    </w:rPr>
  </w:style>
  <w:style w:type="character" w:styleId="aff5" w:customStyle="1">
    <w:name w:val="Основной текст_"/>
    <w:basedOn w:val="a0"/>
    <w:link w:val="1a"/>
    <w:rPr>
      <w:rFonts w:ascii="Times New Roman" w:hAnsi="Times New Roman"/>
      <w:sz w:val="27"/>
      <w:szCs w:val="27"/>
      <w:shd w:val="clear" w:color="auto" w:fill="ffffff"/>
    </w:rPr>
  </w:style>
  <w:style w:type="paragraph" w:styleId="1a" w:customStyle="1">
    <w:name w:val="Основной текст1"/>
    <w:basedOn w:val="a"/>
    <w:link w:val="aff5"/>
    <w:pPr>
      <w:shd w:val="clear" w:color="auto" w:fill="ffffff"/>
      <w:spacing w:after="1320" w:line="312" w:lineRule="exact"/>
      <w:jc w:val="center"/>
    </w:pPr>
    <w:rPr>
      <w:sz w:val="27"/>
      <w:szCs w:val="27"/>
    </w:rPr>
  </w:style>
  <w:style w:type="character" w:styleId="aff6">
    <w:name w:val="Emphasis"/>
    <w:basedOn w:val="a0"/>
    <w:uiPriority w:val="20"/>
    <w:rPr>
      <w:i/>
      <w:iCs/>
    </w:rPr>
  </w:style>
  <w:style w:type="paragraph" w:styleId="ds-markdown-paragraph" w:customStyle="1">
    <w:name w:val="ds-markdown-paragraph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amp;q=%23%D0%A0%D0%BE%D1%81%D1%80%D0%B5%D0%B5%D1%81%D1%82%D1%80" TargetMode="External"/><Relationship Id="rId11" Type="http://schemas.openxmlformats.org/officeDocument/2006/relationships/hyperlink" Target="https://vk.com/feed?section=search&amp;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haracters>2990</Characters>
  <CharactersWithSpaces>3507</CharactersWithSpaces>
  <Company>Hewlett-Packard Company</Company>
  <DocSecurity>0</DocSecurity>
  <HyperlinksChanged>false</HyperlinksChanged>
  <Lines>24</Lines>
  <LinksUpToDate>false</LinksUpToDate>
  <Pages>2</Pages>
  <Paragraphs>7</Paragraphs>
  <ScaleCrop>false</ScaleCrop>
  <SharedDoc>false</SharedDoc>
  <Template>Normal</Template>
  <TotalTime>1</TotalTime>
  <Words>524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3</cp:revision>
  <dcterms:created xsi:type="dcterms:W3CDTF">2026-09-28T09:01:00Z</dcterms:created>
  <dcterms:modified xsi:type="dcterms:W3CDTF">2026-09-28T09:02:00Z</dcterms:modified>
</cp:coreProperties>
</file>